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附件2：</w:t>
      </w:r>
    </w:p>
    <w:p>
      <w:pPr>
        <w:jc w:val="center"/>
        <w:rPr>
          <w:rFonts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浙江财经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  <w:lang w:eastAsia="zh-CN"/>
        </w:rPr>
        <w:t>大学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东方学院第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  <w:lang w:eastAsia="zh-CN"/>
        </w:rPr>
        <w:t>六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次学生社团代表大会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2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委员候选人分配情况</w:t>
      </w:r>
    </w:p>
    <w:tbl>
      <w:tblPr>
        <w:tblStyle w:val="3"/>
        <w:tblW w:w="10546" w:type="dxa"/>
        <w:jc w:val="center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62"/>
        <w:gridCol w:w="750"/>
        <w:gridCol w:w="795"/>
        <w:gridCol w:w="795"/>
        <w:gridCol w:w="720"/>
        <w:gridCol w:w="1680"/>
        <w:gridCol w:w="139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部  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委员候选人总数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学生社团联合会部门委员候选人名额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学生社团管理中心委员候选人名额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学生社团委员候选人名额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第一代表团(学生社团联合会)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第二代表团(院级学生社团)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第三代表团(金融与经贸分院)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第四代表团(财税分院)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第五代表团(工商管理分院)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第六代表团(会计分院)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第七代表团(信息分院)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第八代表团(法政分院)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第九代表团(人文与艺术分院)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第十代表团(外国语分院)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28"/>
          <w:szCs w:val="28"/>
        </w:rPr>
      </w:pPr>
    </w:p>
    <w:p>
      <w:r>
        <w:rPr>
          <w:rFonts w:hint="eastAsia" w:ascii="仿宋_GB2312" w:eastAsia="仿宋_GB2312" w:cs="宋体"/>
          <w:kern w:val="0"/>
          <w:sz w:val="28"/>
          <w:szCs w:val="28"/>
        </w:rPr>
        <w:t>注：1.第三代表团至第十代表团委员候选人由八个分院学生社团管理中心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代表</w:t>
      </w:r>
      <w:r>
        <w:rPr>
          <w:rFonts w:hint="eastAsia" w:ascii="仿宋_GB2312" w:eastAsia="仿宋_GB2312" w:cs="宋体"/>
          <w:kern w:val="0"/>
          <w:sz w:val="28"/>
          <w:szCs w:val="28"/>
        </w:rPr>
        <w:t>和分院学生社团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代表</w:t>
      </w:r>
      <w:r>
        <w:rPr>
          <w:rFonts w:hint="eastAsia" w:ascii="仿宋_GB2312" w:eastAsia="仿宋_GB2312" w:cs="宋体"/>
          <w:kern w:val="0"/>
          <w:sz w:val="28"/>
          <w:szCs w:val="28"/>
        </w:rPr>
        <w:t>构成。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7944"/>
    <w:rsid w:val="0E607944"/>
    <w:rsid w:val="54605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2017-04-12T08:14:00Z</dcterms:created>
  <dc:creator>Administrator</dc:creator>
  <cp:lastModifiedBy>PC</cp:lastModifiedBy>
  <dcterms:modified xsi:type="dcterms:W3CDTF">2017-04-13T03:02:34Z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