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_GB2312" w:hAnsi="仿宋_GB2312" w:eastAsia="仿宋_GB2312"/>
          <w:sz w:val="30"/>
        </w:rPr>
      </w:pPr>
      <w:r>
        <w:rPr>
          <w:rFonts w:hint="eastAsia" w:ascii="仿宋_GB2312" w:hAnsi="仿宋_GB2312" w:eastAsia="仿宋_GB2312"/>
          <w:sz w:val="30"/>
        </w:rPr>
        <w:t>附件1：</w:t>
      </w:r>
    </w:p>
    <w:p>
      <w:pPr>
        <w:jc w:val="center"/>
        <w:rPr>
          <w:rFonts w:hint="eastAsia" w:ascii="宋体"/>
          <w:bCs/>
          <w:sz w:val="36"/>
          <w:szCs w:val="36"/>
        </w:rPr>
      </w:pPr>
      <w:bookmarkStart w:id="0" w:name="_GoBack"/>
      <w:r>
        <w:rPr>
          <w:rFonts w:hint="eastAsia" w:ascii="华文中宋" w:hAnsi="华文中宋" w:eastAsia="华文中宋"/>
          <w:bCs/>
          <w:sz w:val="36"/>
          <w:szCs w:val="36"/>
        </w:rPr>
        <w:t>创意方案参考方向</w:t>
      </w:r>
      <w:bookmarkEnd w:id="0"/>
    </w:p>
    <w:p>
      <w:pPr>
        <w:snapToGrid w:val="0"/>
        <w:spacing w:line="300" w:lineRule="auto"/>
        <w:ind w:firstLine="600" w:firstLineChars="200"/>
        <w:rPr>
          <w:rFonts w:hint="eastAsia" w:ascii="仿宋_GB2312" w:hAnsi="仿宋_GB2312" w:eastAsia="仿宋_GB2312"/>
          <w:sz w:val="30"/>
        </w:rPr>
      </w:pPr>
      <w:r>
        <w:rPr>
          <w:rFonts w:hint="eastAsia" w:ascii="仿宋_GB2312" w:hAnsi="仿宋_GB2312" w:eastAsia="仿宋_GB2312"/>
          <w:sz w:val="30"/>
        </w:rPr>
        <w:t>社会实践形式多样，如社会观察、形势政策宣讲、红色教育、社会调研、专业实习、农村支教、社区服务、企业帮扶、挂职锻炼、科技支农、文艺演出、法律援助、医疗服务、环境保护、关爱空巢老人、关爱弱势群体、农民信箱应用与推广、回访母校、走访校友、勤工助学、就业实习等。同学们可根据自身情况选择主题。</w:t>
      </w:r>
    </w:p>
    <w:p>
      <w:pPr>
        <w:widowControl/>
        <w:snapToGrid w:val="0"/>
        <w:spacing w:line="300" w:lineRule="auto"/>
        <w:ind w:firstLine="200"/>
        <w:textAlignment w:val="baseline"/>
        <w:rPr>
          <w:rFonts w:hint="eastAsia" w:ascii="仿宋_GB2312" w:hAnsi="仿宋_GB2312" w:eastAsia="仿宋_GB2312"/>
          <w:b/>
          <w:sz w:val="30"/>
        </w:rPr>
      </w:pPr>
      <w:r>
        <w:rPr>
          <w:rFonts w:hint="eastAsia" w:ascii="仿宋_GB2312" w:hAnsi="仿宋_GB2312" w:eastAsia="仿宋_GB2312"/>
          <w:b/>
          <w:sz w:val="30"/>
        </w:rPr>
        <w:t xml:space="preserve">   一、</w:t>
      </w:r>
      <w:r>
        <w:rPr>
          <w:rFonts w:ascii="仿宋_GB2312" w:hAnsi="仿宋_GB2312" w:eastAsia="仿宋_GB2312"/>
          <w:b/>
          <w:sz w:val="30"/>
        </w:rPr>
        <w:t>群众路线教育实践活动</w:t>
      </w:r>
    </w:p>
    <w:p>
      <w:pPr>
        <w:widowControl/>
        <w:snapToGrid w:val="0"/>
        <w:spacing w:line="300" w:lineRule="auto"/>
        <w:ind w:firstLine="600" w:firstLineChars="200"/>
        <w:textAlignment w:val="baseline"/>
        <w:rPr>
          <w:rFonts w:hint="eastAsia" w:ascii="仿宋_GB2312" w:hAnsi="仿宋_GB2312" w:eastAsia="仿宋_GB2312"/>
          <w:sz w:val="30"/>
        </w:rPr>
      </w:pPr>
      <w:r>
        <w:rPr>
          <w:rFonts w:hint="eastAsia" w:ascii="仿宋_GB2312" w:hAnsi="仿宋_GB2312" w:eastAsia="仿宋_GB2312"/>
          <w:sz w:val="30"/>
        </w:rPr>
        <w:t>要全面学习宣传贯彻习近平总书记系列重要讲话精神“四信四进”，以“四进”为手段，以“四信”为目标，即通过“进支部、进社团、进网络、进团课”，组织开展有形化、经常化的工作和活动。全面从严治党，是“四个全面”战略布局的重要内容，干部清正、政府清廉、政治清明，是如期完成全面建成小康社会战略任务的坚强政治保证。2016年的反腐风暴在规模、密集程度、深入性以及制度探索方面，均呈现出前所未有的高强态势。今年在继续“打虎拍蝇”的同时，依法反腐、制度性反腐，</w:t>
      </w:r>
      <w:r>
        <w:rPr>
          <w:rFonts w:ascii="仿宋_GB2312" w:hAnsi="仿宋_GB2312" w:eastAsia="仿宋_GB2312"/>
          <w:sz w:val="30"/>
        </w:rPr>
        <w:t>围绕保持党的先进性和纯洁性，在全党深入开展以“为民、务实、清廉”为主要内容的党的群众路线教育实践活动。</w:t>
      </w:r>
      <w:r>
        <w:rPr>
          <w:rFonts w:hint="eastAsia" w:ascii="仿宋_GB2312" w:hAnsi="仿宋_GB2312" w:eastAsia="仿宋_GB2312"/>
          <w:sz w:val="30"/>
        </w:rPr>
        <w:t>习近平总书记在2016年新年贺词中指出，“着力营造政治上的绿水青山”，</w:t>
      </w:r>
      <w:r>
        <w:rPr>
          <w:rFonts w:ascii="仿宋_GB2312" w:hAnsi="仿宋_GB2312" w:eastAsia="仿宋_GB2312"/>
          <w:sz w:val="30"/>
        </w:rPr>
        <w:t>以贯彻“照镜子、正衣冠、洗洗澡、治治病”的总要求为抓手，坚决反对“形式主义、官僚主义、享乐主义、奢靡之风”。聚焦校领导班子联系基层问题，决策的科学化、民主化问题，廉洁自律问题；聚焦干部工作精力投入问题，干部工作激情问题，干部执行力问题；聚焦管理服务部门作风问题，部门之间的协调配合问题；聚焦节约意识问题，经费管理和资源利用问题。通过开展学习教育活动，树立“为民服务”意识；详细摸排与查找，解决群众反映突出问题；广泛征求意见，改进领导机关和干部工作作风；立足于实践，建立长效机制等方式着力建设敢于担当的开拓型干部队伍、勤于奉献的清廉型领导班子、乐于为民的服务型机关部门以及甘于艰苦奋斗的节约型大学校园。</w:t>
      </w:r>
    </w:p>
    <w:p>
      <w:pPr>
        <w:widowControl/>
        <w:snapToGrid w:val="0"/>
        <w:spacing w:line="300" w:lineRule="auto"/>
        <w:ind w:firstLine="200"/>
        <w:textAlignment w:val="baseline"/>
        <w:rPr>
          <w:rFonts w:hint="eastAsia" w:ascii="仿宋_GB2312" w:hAnsi="仿宋_GB2312" w:eastAsia="仿宋_GB2312"/>
          <w:b/>
          <w:sz w:val="30"/>
        </w:rPr>
      </w:pPr>
      <w:r>
        <w:rPr>
          <w:rFonts w:hint="eastAsia" w:ascii="仿宋_GB2312" w:hAnsi="仿宋_GB2312" w:eastAsia="仿宋_GB2312"/>
          <w:b/>
          <w:sz w:val="30"/>
        </w:rPr>
        <w:t xml:space="preserve">   二、</w:t>
      </w:r>
      <w:r>
        <w:rPr>
          <w:rFonts w:ascii="仿宋_GB2312" w:hAnsi="仿宋_GB2312" w:eastAsia="仿宋_GB2312"/>
          <w:b/>
          <w:sz w:val="30"/>
        </w:rPr>
        <w:t>焦点关注全面改革</w:t>
      </w:r>
    </w:p>
    <w:p>
      <w:pPr>
        <w:widowControl/>
        <w:snapToGrid w:val="0"/>
        <w:spacing w:line="300" w:lineRule="auto"/>
        <w:ind w:firstLine="200"/>
        <w:textAlignment w:val="baseline"/>
        <w:rPr>
          <w:rFonts w:hint="eastAsia" w:ascii="仿宋_GB2312" w:hAnsi="仿宋_GB2312" w:eastAsia="仿宋_GB2312"/>
          <w:sz w:val="30"/>
        </w:rPr>
      </w:pPr>
      <w:r>
        <w:rPr>
          <w:rFonts w:hint="eastAsia" w:ascii="仿宋_GB2312" w:hAnsi="仿宋_GB2312" w:eastAsia="仿宋_GB2312"/>
          <w:sz w:val="30"/>
        </w:rPr>
        <w:t>2016年党的十八届五中全会审议通过了《中共中央关于制定国民经济和社会发展第十三个五年规划的建议》，明确了我国未来5年的发展蓝图。中国全面深化改革不断推进。</w:t>
      </w:r>
      <w:r>
        <w:rPr>
          <w:rFonts w:ascii="仿宋_GB2312" w:hAnsi="仿宋_GB2312" w:eastAsia="仿宋_GB2312"/>
          <w:sz w:val="30"/>
        </w:rPr>
        <w:t>习近平总书记系列重要讲话精神活动</w:t>
      </w:r>
      <w:r>
        <w:rPr>
          <w:rFonts w:hint="eastAsia" w:ascii="仿宋_GB2312" w:hAnsi="仿宋_GB2312" w:eastAsia="仿宋_GB2312"/>
          <w:sz w:val="30"/>
        </w:rPr>
        <w:t>,</w:t>
      </w:r>
      <w:r>
        <w:rPr>
          <w:rFonts w:ascii="仿宋_GB2312" w:hAnsi="仿宋_GB2312" w:eastAsia="仿宋_GB2312"/>
          <w:sz w:val="30"/>
        </w:rPr>
        <w:t>以激发团员青年重视国计民生，增强主人翁意识。以各级团学骨干为重点，结合自身工作特色，大力加强理论学习和培训，在团员青年中展开两会相关教育普及活动。依托红色微博、专题网站等新媒体工作平台，通过理论研讨、实地寻访、政策宣讲、科普讲座、专业实习、技能培训、技术下乡等形式多样的主题实践活动，积极了解调查全面改革问题，环境保护问题，城镇化建设问题，社保体系问题，食品安全问题，住房问题，上学问题，看病问题等重点民生问题，了解经济社会发展的目标要求和各项政策，引导学生坚定信念在党的领导下继续解放思想、坚持改革开放、推动科学发展、促进社会和谐，实现未来新发展。</w:t>
      </w:r>
    </w:p>
    <w:p>
      <w:pPr>
        <w:widowControl/>
        <w:snapToGrid w:val="0"/>
        <w:spacing w:line="300" w:lineRule="auto"/>
        <w:ind w:firstLine="651" w:firstLineChars="216"/>
        <w:textAlignment w:val="baseline"/>
        <w:rPr>
          <w:rFonts w:hint="eastAsia" w:ascii="仿宋_GB2312" w:hAnsi="仿宋_GB2312" w:eastAsia="仿宋_GB2312"/>
          <w:sz w:val="30"/>
        </w:rPr>
      </w:pPr>
      <w:r>
        <w:rPr>
          <w:rFonts w:hint="eastAsia" w:ascii="仿宋_GB2312" w:hAnsi="仿宋_GB2312" w:eastAsia="仿宋_GB2312"/>
          <w:b/>
          <w:color w:val="000000"/>
          <w:sz w:val="30"/>
        </w:rPr>
        <w:t>三、</w:t>
      </w:r>
      <w:r>
        <w:rPr>
          <w:rFonts w:ascii="仿宋_GB2312" w:hAnsi="仿宋_GB2312" w:eastAsia="仿宋_GB2312"/>
          <w:b/>
          <w:color w:val="000000"/>
          <w:sz w:val="30"/>
        </w:rPr>
        <w:t>五水共治，寻找最美水源</w:t>
      </w:r>
    </w:p>
    <w:p>
      <w:pPr>
        <w:widowControl/>
        <w:snapToGrid w:val="0"/>
        <w:spacing w:line="300" w:lineRule="auto"/>
        <w:ind w:firstLine="200"/>
        <w:textAlignment w:val="baseline"/>
        <w:rPr>
          <w:rFonts w:hint="eastAsia" w:ascii="仿宋_GB2312" w:hAnsi="仿宋_GB2312" w:eastAsia="仿宋_GB2312"/>
          <w:color w:val="000000"/>
          <w:sz w:val="30"/>
        </w:rPr>
      </w:pPr>
      <w:r>
        <w:rPr>
          <w:rFonts w:hint="eastAsia" w:ascii="仿宋_GB2312" w:hAnsi="仿宋_GB2312" w:eastAsia="仿宋_GB2312"/>
          <w:color w:val="000000"/>
          <w:sz w:val="30"/>
        </w:rPr>
        <w:t xml:space="preserve">   </w:t>
      </w:r>
      <w:r>
        <w:rPr>
          <w:rFonts w:ascii="仿宋_GB2312" w:hAnsi="仿宋_GB2312" w:eastAsia="仿宋_GB2312"/>
          <w:color w:val="000000"/>
          <w:sz w:val="30"/>
        </w:rPr>
        <w:t>深入学习贯彻党的十八届三中全会和市委十三届六次全会精神，努力营造全民助力“五水共治”的良好社会氛围，进一步构建一个和谐具有生气的校园。争当治水的宣传者，体现校大学生作为社会当家人的责任感，积极响应市委市政府的号召，共同爱护生命之源，自觉宣传治水工作、普及治水知识，使“五水共治”行动深入人心，形成浓厚的校园氛围；争当治水的践行者，积极为“治水”献计献策，贡献自己的一份力量。要从我做起，从小事做起，从现在做起，养成良好的生活习惯，自觉节约用水，积极保护水环境；争当治水的监督者，制止和举报各种破坏水环境、水资源和水利设施等不文明行为，构建全民监督机制，合力推进“五水共治”工作，并呼吁更多的人投身到保护水源的队伍中去，改变水资源利用效率低和严重的用水浪费现象，建设节水型社会，还江南一掬碧水，让浙江真正成为温柔水乡。</w:t>
      </w:r>
    </w:p>
    <w:p>
      <w:pPr>
        <w:widowControl/>
        <w:snapToGrid w:val="0"/>
        <w:spacing w:line="300" w:lineRule="auto"/>
        <w:ind w:firstLine="200"/>
        <w:textAlignment w:val="baseline"/>
        <w:rPr>
          <w:rFonts w:hint="eastAsia" w:ascii="仿宋_GB2312" w:hAnsi="仿宋_GB2312" w:eastAsia="仿宋_GB2312"/>
          <w:b/>
          <w:sz w:val="30"/>
        </w:rPr>
      </w:pPr>
      <w:r>
        <w:rPr>
          <w:rFonts w:hint="eastAsia" w:ascii="仿宋_GB2312" w:hAnsi="仿宋_GB2312" w:eastAsia="仿宋_GB2312"/>
          <w:b/>
          <w:sz w:val="30"/>
        </w:rPr>
        <w:t xml:space="preserve">   四、</w:t>
      </w:r>
      <w:r>
        <w:rPr>
          <w:rFonts w:ascii="仿宋_GB2312" w:hAnsi="仿宋_GB2312" w:eastAsia="仿宋_GB2312"/>
          <w:b/>
          <w:sz w:val="30"/>
        </w:rPr>
        <w:t>服务建设新农村</w:t>
      </w:r>
    </w:p>
    <w:p>
      <w:pPr>
        <w:widowControl/>
        <w:snapToGrid w:val="0"/>
        <w:spacing w:line="300" w:lineRule="auto"/>
        <w:ind w:firstLine="200"/>
        <w:textAlignment w:val="baseline"/>
        <w:rPr>
          <w:rFonts w:hint="eastAsia" w:ascii="仿宋_GB2312" w:hAnsi="仿宋_GB2312" w:eastAsia="仿宋_GB2312"/>
          <w:sz w:val="30"/>
        </w:rPr>
      </w:pPr>
      <w:r>
        <w:rPr>
          <w:rFonts w:hint="eastAsia" w:ascii="仿宋_GB2312" w:hAnsi="仿宋_GB2312" w:eastAsia="仿宋_GB2312"/>
          <w:sz w:val="30"/>
        </w:rPr>
        <w:t xml:space="preserve">   </w:t>
      </w:r>
      <w:r>
        <w:rPr>
          <w:rFonts w:ascii="仿宋_GB2312" w:hAnsi="仿宋_GB2312" w:eastAsia="仿宋_GB2312"/>
          <w:sz w:val="30"/>
        </w:rPr>
        <w:t>积极引导广大团员青年以激情奋斗的青春，进行顽强拼搏，为人民作出无私奉献，从实践中吸取经验启迪人生，使人生获得升华和超越。结合大学生村官计划等重点项目的组织实施，组织学生参与“三下乡”社会实践实地考察，深入欠发达农村和现代化新型农村，对新农村建设进行重点了解新农村建设的进展和成果，引导青年学生深入了解农村经济社会发展和基层干部群众生产生活中需要帮扶的实际需求，深入农村、了解农村、服务农村，主要包括种植养殖、科技帮扶、产业规划、医疗卫生、文化艺术、教育培训、敬老爱幼、政策宣讲、法律援助、社会调查等方面的对接帮扶。开展扫盲工作进社区，进企业，进基层活动,在扫盲中，深化扫盲课程和教学改革，以农民的学习需求为导向，增强扫盲的实用性，改变以识字、计算为主要内容的扫盲，逐步形成基本语文、实用数学、家庭生活知识和技能、公民生活知识与技能、创业知识与技能相结合的扫盲课程体系，使扫盲逐渐从“扫文字盲”向“扫文化盲”的方向转变，在服务新农村建设、现代农业发展、新型农民成长等方面作出力所能及的贡献。</w:t>
      </w:r>
    </w:p>
    <w:p>
      <w:pPr>
        <w:widowControl/>
        <w:snapToGrid w:val="0"/>
        <w:spacing w:line="300" w:lineRule="auto"/>
        <w:ind w:firstLine="200"/>
        <w:textAlignment w:val="baseline"/>
        <w:rPr>
          <w:rFonts w:hint="eastAsia" w:ascii="仿宋_GB2312" w:hAnsi="仿宋_GB2312" w:eastAsia="仿宋_GB2312"/>
          <w:sz w:val="30"/>
        </w:rPr>
      </w:pPr>
      <w:r>
        <w:rPr>
          <w:rFonts w:hint="eastAsia" w:ascii="仿宋_GB2312" w:hAnsi="仿宋_GB2312" w:eastAsia="仿宋_GB2312"/>
          <w:b/>
          <w:sz w:val="30"/>
        </w:rPr>
        <w:t xml:space="preserve">   五、</w:t>
      </w:r>
      <w:r>
        <w:rPr>
          <w:rFonts w:ascii="仿宋_GB2312" w:hAnsi="仿宋_GB2312" w:eastAsia="仿宋_GB2312"/>
          <w:b/>
          <w:sz w:val="30"/>
        </w:rPr>
        <w:t>身兼厉行勤俭节约</w:t>
      </w:r>
      <w:r>
        <w:rPr>
          <w:rFonts w:hint="eastAsia" w:ascii="仿宋_GB2312" w:hAnsi="仿宋_GB2312" w:eastAsia="仿宋_GB2312"/>
          <w:b/>
          <w:sz w:val="30"/>
        </w:rPr>
        <w:t>、“</w:t>
      </w:r>
      <w:r>
        <w:rPr>
          <w:rFonts w:ascii="仿宋_GB2312" w:hAnsi="仿宋_GB2312" w:eastAsia="仿宋_GB2312"/>
          <w:b/>
          <w:sz w:val="30"/>
        </w:rPr>
        <w:t>绿色</w:t>
      </w:r>
      <w:r>
        <w:rPr>
          <w:rFonts w:hint="eastAsia" w:ascii="仿宋_GB2312" w:hAnsi="仿宋_GB2312" w:eastAsia="仿宋_GB2312"/>
          <w:b/>
          <w:sz w:val="30"/>
        </w:rPr>
        <w:t>发展”</w:t>
      </w:r>
    </w:p>
    <w:p>
      <w:pPr>
        <w:widowControl/>
        <w:snapToGrid w:val="0"/>
        <w:spacing w:line="300" w:lineRule="auto"/>
        <w:ind w:firstLine="200"/>
        <w:textAlignment w:val="baseline"/>
        <w:rPr>
          <w:rFonts w:hint="eastAsia" w:ascii="仿宋_GB2312" w:hAnsi="仿宋_GB2312" w:eastAsia="仿宋_GB2312"/>
          <w:sz w:val="30"/>
        </w:rPr>
      </w:pPr>
      <w:r>
        <w:rPr>
          <w:rFonts w:hint="eastAsia" w:ascii="仿宋_GB2312" w:hAnsi="仿宋_GB2312" w:eastAsia="仿宋_GB2312"/>
          <w:sz w:val="30"/>
        </w:rPr>
        <w:t xml:space="preserve">   从2015年年底的中央经济工作会议强调“要更加注重促进形成绿色生产方式和消费方式”，到中央城市工作会议要求“统筹生产、生活、生态三大布局”，再到2016年的中央1号文件专章部署“推动农业绿色发展”。党中央始终强调绿色发展，“绿水青山就是金山银山”也已成为社会共识。</w:t>
      </w:r>
      <w:r>
        <w:rPr>
          <w:rFonts w:ascii="仿宋_GB2312" w:hAnsi="仿宋_GB2312" w:eastAsia="仿宋_GB2312"/>
          <w:sz w:val="30"/>
        </w:rPr>
        <w:t>在日常中宣传保护环境、勤俭节约思想，以自身实际行动实现环保节约，赴农村、社区、企业开展绿色教育与勤俭节约为主要内容的实践活动，引导学生对如何更加有效倡导环保节约理念，如何使社会公众将低碳理念真正运用到实际生活中等问题进行深入调研，分析存在问题，提出解决方案，传承中华美德，弘扬绿色生活精神，坚持可持续发展，树立社会文明新风，实现自我精神的升华。</w:t>
      </w:r>
    </w:p>
    <w:p>
      <w:pPr>
        <w:widowControl/>
        <w:snapToGrid w:val="0"/>
        <w:spacing w:line="300" w:lineRule="auto"/>
        <w:ind w:firstLine="200"/>
        <w:textAlignment w:val="baseline"/>
        <w:rPr>
          <w:rFonts w:hint="eastAsia" w:ascii="仿宋_GB2312" w:hAnsi="仿宋_GB2312" w:eastAsia="仿宋_GB2312"/>
          <w:b/>
          <w:sz w:val="30"/>
        </w:rPr>
      </w:pPr>
      <w:r>
        <w:rPr>
          <w:rFonts w:hint="eastAsia" w:ascii="仿宋_GB2312" w:hAnsi="仿宋_GB2312" w:eastAsia="仿宋_GB2312"/>
          <w:b/>
          <w:sz w:val="30"/>
        </w:rPr>
        <w:t xml:space="preserve">    六、</w:t>
      </w:r>
      <w:r>
        <w:rPr>
          <w:rFonts w:ascii="仿宋_GB2312" w:hAnsi="仿宋_GB2312" w:eastAsia="仿宋_GB2312"/>
          <w:b/>
          <w:sz w:val="30"/>
        </w:rPr>
        <w:t>继承弘扬美丽中国文化</w:t>
      </w:r>
    </w:p>
    <w:p>
      <w:pPr>
        <w:widowControl/>
        <w:snapToGrid w:val="0"/>
        <w:spacing w:line="300" w:lineRule="auto"/>
        <w:ind w:firstLine="200"/>
        <w:textAlignment w:val="baseline"/>
        <w:rPr>
          <w:rFonts w:hint="eastAsia" w:ascii="仿宋_GB2312" w:hAnsi="仿宋_GB2312" w:eastAsia="仿宋_GB2312"/>
          <w:color w:val="FF0000"/>
          <w:sz w:val="30"/>
        </w:rPr>
      </w:pPr>
      <w:r>
        <w:rPr>
          <w:rFonts w:hint="eastAsia" w:ascii="仿宋_GB2312" w:hAnsi="仿宋_GB2312" w:eastAsia="仿宋_GB2312"/>
          <w:sz w:val="30"/>
        </w:rPr>
        <w:t xml:space="preserve">   </w:t>
      </w:r>
      <w:r>
        <w:rPr>
          <w:rFonts w:hint="eastAsia" w:ascii="仿宋_GB2312" w:hAnsi="仿宋_GB2312" w:eastAsia="仿宋_GB2312"/>
          <w:color w:val="FF0000"/>
          <w:sz w:val="30"/>
        </w:rPr>
        <w:t xml:space="preserve"> </w:t>
      </w:r>
      <w:r>
        <w:rPr>
          <w:rFonts w:hint="eastAsia" w:ascii="仿宋_GB2312" w:hAnsi="仿宋_GB2312" w:eastAsia="仿宋_GB2312"/>
          <w:color w:val="000000"/>
          <w:sz w:val="30"/>
        </w:rPr>
        <w:t>2016年两会政府工作报告提出继续建设美丽中国，山要绿起来，人要富起来。为了让世界更好的了解中国，也为了让中国更好的了解世界。也为了充分展示中国人文神韵的丰富文化内容。展示中国方方面面的内容，民间文艺、舞蹈、音乐、美术、杂技、电视、电影、戏剧、曲艺、绘画等各个领域节目内容。追寻中华文明传承子安地理、文化历史的故事；展现中华文明的行进轨迹；在国际化的视野下，表现华夏文明的独特景观、风俗、娱乐、审美和思辨。展示中国的、各地的，各民族的灿烂文化遗产，引领观众体验和领悟自然和人文景观的丰富内涵。在世界范围内更好的展示中国最精华的民族瑰宝，为世界展示一个最美丽的中国。</w:t>
      </w:r>
    </w:p>
    <w:p>
      <w:pPr>
        <w:widowControl/>
        <w:snapToGrid w:val="0"/>
        <w:spacing w:line="300" w:lineRule="auto"/>
        <w:ind w:firstLine="602" w:firstLineChars="200"/>
        <w:textAlignment w:val="baseline"/>
        <w:rPr>
          <w:rFonts w:hint="eastAsia" w:ascii="仿宋_GB2312" w:hAnsi="仿宋_GB2312" w:eastAsia="仿宋_GB2312"/>
          <w:b/>
          <w:sz w:val="30"/>
        </w:rPr>
      </w:pPr>
      <w:r>
        <w:rPr>
          <w:rFonts w:hint="eastAsia" w:ascii="仿宋_GB2312" w:hAnsi="仿宋_GB2312" w:eastAsia="仿宋_GB2312"/>
          <w:b/>
          <w:sz w:val="30"/>
        </w:rPr>
        <w:t>七、</w:t>
      </w:r>
      <w:r>
        <w:rPr>
          <w:rFonts w:ascii="仿宋_GB2312" w:hAnsi="仿宋_GB2312" w:eastAsia="仿宋_GB2312"/>
          <w:b/>
          <w:sz w:val="30"/>
        </w:rPr>
        <w:t>继承发扬志愿服务精神</w:t>
      </w:r>
    </w:p>
    <w:p>
      <w:pPr>
        <w:widowControl/>
        <w:snapToGrid w:val="0"/>
        <w:spacing w:line="300" w:lineRule="auto"/>
        <w:ind w:firstLine="600" w:firstLineChars="200"/>
        <w:textAlignment w:val="baseline"/>
        <w:rPr>
          <w:rFonts w:hint="eastAsia" w:ascii="仿宋_GB2312" w:hAnsi="仿宋_GB2312" w:eastAsia="仿宋_GB2312"/>
          <w:sz w:val="30"/>
        </w:rPr>
      </w:pPr>
      <w:r>
        <w:rPr>
          <w:rFonts w:ascii="仿宋_GB2312" w:hAnsi="仿宋_GB2312" w:eastAsia="仿宋_GB2312"/>
          <w:sz w:val="30"/>
        </w:rPr>
        <w:t>全面深化共青团关爱农民工子女志愿服务行动，发扬志愿者服务的优良传统，发挥主观能动性，深入社会各个角落，关爱残障人士、低保人群、孤寡老人、以及农民工子女等弱势群体，开展学业辅导、心理帮扶、爱心捐赠等志愿服务类活动为保障和改善民生，促进社会公平正义，构建社会主义和谐社会承担起青年使命。鼓励学生为社会服务为己任，在深化社会服务的基础上，开展与服务主题相关的调查研究，为共创和谐生活贡献大学生的力量。加强关爱农民工子女志愿服务行动阵地建设，结合“希望工程激励行动”和项目共青团中央“圆梦中国，公益先行”项目，重点开展关爱农民工子女公益项目、义务支教等志愿服务实践活动。</w:t>
      </w:r>
    </w:p>
    <w:p>
      <w:pPr>
        <w:widowControl/>
        <w:snapToGrid w:val="0"/>
        <w:spacing w:line="300" w:lineRule="auto"/>
        <w:ind w:firstLine="602" w:firstLineChars="200"/>
        <w:textAlignment w:val="baseline"/>
        <w:rPr>
          <w:rFonts w:hint="eastAsia" w:ascii="仿宋_GB2312" w:hAnsi="仿宋_GB2312" w:eastAsia="仿宋_GB2312"/>
          <w:b/>
          <w:sz w:val="30"/>
        </w:rPr>
      </w:pPr>
      <w:r>
        <w:rPr>
          <w:rFonts w:hint="eastAsia" w:ascii="仿宋_GB2312" w:hAnsi="仿宋_GB2312" w:eastAsia="仿宋_GB2312"/>
          <w:b/>
          <w:sz w:val="30"/>
        </w:rPr>
        <w:t>八、</w:t>
      </w:r>
      <w:r>
        <w:rPr>
          <w:rFonts w:ascii="仿宋_GB2312" w:hAnsi="仿宋_GB2312" w:eastAsia="仿宋_GB2312"/>
          <w:b/>
          <w:sz w:val="30"/>
        </w:rPr>
        <w:t>实践开展创业就业</w:t>
      </w:r>
    </w:p>
    <w:p>
      <w:pPr>
        <w:widowControl/>
        <w:snapToGrid w:val="0"/>
        <w:spacing w:line="300" w:lineRule="auto"/>
        <w:ind w:firstLine="600" w:firstLineChars="200"/>
        <w:textAlignment w:val="baseline"/>
        <w:rPr>
          <w:rFonts w:hint="eastAsia" w:ascii="仿宋_GB2312" w:hAnsi="仿宋_GB2312" w:eastAsia="仿宋_GB2312"/>
          <w:sz w:val="30"/>
        </w:rPr>
      </w:pPr>
      <w:r>
        <w:rPr>
          <w:rFonts w:ascii="仿宋_GB2312" w:hAnsi="仿宋_GB2312" w:eastAsia="仿宋_GB2312"/>
          <w:sz w:val="30"/>
        </w:rPr>
        <w:t>结合专业特点开展就业创业见习实践活动，深入基层或者企事业单位了解专业的前沿动态，了解社会对人才培养的具体要求，了解所学专业的就业前景、发展趋势等，为就业打下坚实基础。并积极发挥社会实践在培养大学生的创造能力、创新精神及创业技能方面的重要作用，鼓励学生运用自身专业知识，结合“挑战杯”大学生创业计划大赛以及青年就业见习基地建设等项目的调研，各类就业创业实践团开展富有特色的项目开展有针对性地参加就业创业实践活动，通过就业创业见习实践活动，增加职业体验，提高就业创业能力。</w:t>
      </w:r>
    </w:p>
    <w:p>
      <w:pPr>
        <w:widowControl/>
        <w:snapToGrid w:val="0"/>
        <w:spacing w:line="300" w:lineRule="auto"/>
        <w:ind w:firstLine="443" w:firstLineChars="147"/>
        <w:textAlignment w:val="baseline"/>
        <w:rPr>
          <w:rFonts w:hint="eastAsia" w:ascii="仿宋_GB2312" w:hAnsi="仿宋_GB2312" w:eastAsia="仿宋_GB2312"/>
          <w:b/>
          <w:sz w:val="30"/>
        </w:rPr>
      </w:pPr>
      <w:r>
        <w:rPr>
          <w:rFonts w:hint="eastAsia" w:ascii="仿宋_GB2312" w:hAnsi="仿宋_GB2312" w:eastAsia="仿宋_GB2312"/>
          <w:b/>
          <w:sz w:val="30"/>
        </w:rPr>
        <w:t xml:space="preserve"> 九、</w:t>
      </w:r>
      <w:r>
        <w:rPr>
          <w:rFonts w:ascii="仿宋_GB2312" w:hAnsi="仿宋_GB2312" w:eastAsia="仿宋_GB2312"/>
          <w:b/>
          <w:sz w:val="30"/>
        </w:rPr>
        <w:t>加强深化安全意识</w:t>
      </w:r>
    </w:p>
    <w:p>
      <w:pPr>
        <w:widowControl/>
        <w:snapToGrid w:val="0"/>
        <w:spacing w:line="300" w:lineRule="auto"/>
        <w:ind w:firstLine="200"/>
        <w:textAlignment w:val="baseline"/>
        <w:rPr>
          <w:rFonts w:ascii="仿宋_GB2312" w:hAnsi="仿宋_GB2312" w:eastAsia="仿宋_GB2312"/>
          <w:sz w:val="30"/>
        </w:rPr>
      </w:pPr>
      <w:r>
        <w:rPr>
          <w:rFonts w:hint="eastAsia" w:ascii="仿宋_GB2312" w:hAnsi="仿宋_GB2312" w:eastAsia="仿宋_GB2312"/>
          <w:sz w:val="30"/>
        </w:rPr>
        <w:t xml:space="preserve">    </w:t>
      </w:r>
      <w:r>
        <w:rPr>
          <w:rFonts w:ascii="仿宋_GB2312" w:hAnsi="仿宋_GB2312" w:eastAsia="仿宋_GB2312"/>
          <w:sz w:val="30"/>
        </w:rPr>
        <w:t>开展以“网络安全”、“食品安全”</w:t>
      </w:r>
      <w:r>
        <w:rPr>
          <w:rFonts w:hint="eastAsia" w:ascii="仿宋_GB2312" w:hAnsi="仿宋_GB2312" w:eastAsia="仿宋_GB2312"/>
          <w:sz w:val="30"/>
        </w:rPr>
        <w:t>、</w:t>
      </w:r>
      <w:r>
        <w:rPr>
          <w:rFonts w:ascii="仿宋_GB2312" w:hAnsi="仿宋_GB2312" w:eastAsia="仿宋_GB2312"/>
          <w:sz w:val="30"/>
        </w:rPr>
        <w:t>“H7N9禽流感”</w:t>
      </w:r>
      <w:r>
        <w:rPr>
          <w:rFonts w:hint="eastAsia" w:ascii="仿宋_GB2312" w:hAnsi="仿宋_GB2312" w:eastAsia="仿宋_GB2312"/>
          <w:sz w:val="30"/>
        </w:rPr>
        <w:t>、“艾滋”</w:t>
      </w:r>
      <w:r>
        <w:rPr>
          <w:rFonts w:ascii="仿宋_GB2312" w:hAnsi="仿宋_GB2312" w:eastAsia="仿宋_GB2312"/>
          <w:sz w:val="30"/>
        </w:rPr>
        <w:t>为主题的安全知识</w:t>
      </w:r>
      <w:r>
        <w:rPr>
          <w:rFonts w:hint="eastAsia" w:ascii="仿宋_GB2312" w:hAnsi="仿宋_GB2312" w:eastAsia="仿宋_GB2312"/>
          <w:sz w:val="30"/>
        </w:rPr>
        <w:t>宣讲</w:t>
      </w:r>
      <w:r>
        <w:rPr>
          <w:rFonts w:ascii="仿宋_GB2312" w:hAnsi="仿宋_GB2312" w:eastAsia="仿宋_GB2312"/>
          <w:sz w:val="30"/>
        </w:rPr>
        <w:t>，用多种新媒体渠道向广大团员青年普及网络安全知识、食品安全知识，防禽流感生活常识，提高安全教育，加强自身锻炼，增强自身素质，实现平安青春梦。</w:t>
      </w:r>
    </w:p>
    <w:p>
      <w:pPr>
        <w:widowControl/>
        <w:snapToGrid w:val="0"/>
        <w:spacing w:line="300" w:lineRule="auto"/>
        <w:ind w:firstLine="443" w:firstLineChars="147"/>
        <w:textAlignment w:val="baseline"/>
        <w:rPr>
          <w:rFonts w:hint="eastAsia" w:ascii="仿宋_GB2312" w:hAnsi="仿宋_GB2312" w:eastAsia="仿宋_GB2312"/>
          <w:b/>
          <w:sz w:val="30"/>
        </w:rPr>
      </w:pPr>
      <w:r>
        <w:rPr>
          <w:rFonts w:hint="eastAsia" w:ascii="仿宋_GB2312" w:hAnsi="仿宋_GB2312" w:eastAsia="仿宋_GB2312"/>
          <w:b/>
          <w:sz w:val="30"/>
        </w:rPr>
        <w:t xml:space="preserve"> 十、校友寻访实践</w:t>
      </w:r>
    </w:p>
    <w:p>
      <w:pPr>
        <w:widowControl/>
        <w:snapToGrid w:val="0"/>
        <w:spacing w:line="300" w:lineRule="auto"/>
        <w:ind w:firstLine="200"/>
        <w:textAlignment w:val="baseline"/>
        <w:rPr>
          <w:rFonts w:ascii="仿宋_GB2312" w:hAnsi="仿宋_GB2312" w:eastAsia="仿宋_GB2312"/>
          <w:sz w:val="30"/>
        </w:rPr>
      </w:pPr>
      <w:r>
        <w:rPr>
          <w:rFonts w:hint="eastAsia" w:ascii="仿宋_GB2312" w:hAnsi="仿宋_GB2312" w:eastAsia="仿宋_GB2312"/>
          <w:sz w:val="30"/>
        </w:rPr>
        <w:t xml:space="preserve">    </w:t>
      </w:r>
      <w:r>
        <w:rPr>
          <w:rFonts w:ascii="仿宋_GB2312" w:hAnsi="仿宋_GB2312" w:eastAsia="仿宋_GB2312"/>
          <w:sz w:val="30"/>
        </w:rPr>
        <w:t>鼓励学生以个人或团队为单位利用暑期广泛深入社会各行各业、各条战线寻访优秀校友，探寻优秀校友的成长奋斗史，丰富成长体验，开阔成才视野。探寻历届校友心中的</w:t>
      </w:r>
      <w:r>
        <w:rPr>
          <w:rFonts w:hint="eastAsia" w:ascii="仿宋_GB2312" w:hAnsi="仿宋_GB2312" w:eastAsia="仿宋_GB2312"/>
          <w:sz w:val="30"/>
        </w:rPr>
        <w:t>东</w:t>
      </w:r>
      <w:r>
        <w:rPr>
          <w:rFonts w:ascii="仿宋_GB2312" w:hAnsi="仿宋_GB2312" w:eastAsia="仿宋_GB2312"/>
          <w:sz w:val="30"/>
        </w:rPr>
        <w:t>大精神，从而激发在校学生的自豪感和归属感，以史为鉴，以优秀校友为榜样，树立精英意识，完善能力素质，为社会做贡献，为母校添光彩。</w:t>
      </w:r>
    </w:p>
    <w:p>
      <w:pPr>
        <w:widowControl/>
        <w:snapToGrid w:val="0"/>
        <w:spacing w:line="300" w:lineRule="auto"/>
        <w:ind w:firstLine="443" w:firstLineChars="147"/>
        <w:textAlignment w:val="baseline"/>
        <w:rPr>
          <w:rFonts w:hint="eastAsia" w:ascii="仿宋_GB2312" w:hAnsi="仿宋_GB2312" w:eastAsia="仿宋_GB2312"/>
          <w:b/>
          <w:sz w:val="30"/>
        </w:rPr>
      </w:pPr>
      <w:r>
        <w:rPr>
          <w:rFonts w:hint="eastAsia" w:ascii="仿宋_GB2312" w:hAnsi="仿宋_GB2312" w:eastAsia="仿宋_GB2312"/>
          <w:b/>
          <w:sz w:val="30"/>
        </w:rPr>
        <w:t xml:space="preserve"> 十一、科普反邪宣传</w:t>
      </w:r>
    </w:p>
    <w:p>
      <w:pPr>
        <w:widowControl/>
        <w:snapToGrid w:val="0"/>
        <w:spacing w:line="300" w:lineRule="auto"/>
        <w:ind w:firstLine="441" w:firstLineChars="147"/>
        <w:textAlignment w:val="baseline"/>
        <w:rPr>
          <w:rFonts w:hint="eastAsia" w:ascii="仿宋_GB2312" w:hAnsi="仿宋_GB2312" w:eastAsia="仿宋_GB2312"/>
          <w:sz w:val="30"/>
        </w:rPr>
      </w:pPr>
      <w:r>
        <w:rPr>
          <w:rFonts w:hint="eastAsia" w:ascii="仿宋_GB2312" w:hAnsi="仿宋_GB2312" w:eastAsia="仿宋_GB2312"/>
          <w:sz w:val="30"/>
        </w:rPr>
        <w:t xml:space="preserve"> 以社会主义核心价值观为引</w:t>
      </w:r>
      <w:r>
        <w:rPr>
          <w:rFonts w:hint="eastAsia" w:ascii="仿宋_GB2312" w:hAnsi="宋体" w:eastAsia="仿宋_GB2312"/>
          <w:color w:val="000000"/>
          <w:sz w:val="30"/>
          <w:szCs w:val="30"/>
        </w:rPr>
        <w:t>领，引导学生积极投入到建设“平安浙江”的社会实践活动中去，广泛开展科普宣传、社区服务、调查研究、播放科普影片等活动，普及科学知识，弘扬科学精神，提高广大群众识别和抵御邪教的能力，营造科学、文明、健康、和谐的社会氛围。引导广大青年学生积极投入到讲科学、反邪教、促和谐的社会实践活动中去，广泛开展科普宣传、社区服务、调查研究、播放科普影片等活动，普及科学知识，弘扬科学精神，提高广大群众识别和抵御邪教的能力，为建设“平安浙江”做出积极的贡献。</w:t>
      </w:r>
    </w:p>
    <w:p>
      <w:pPr/>
      <w:r>
        <w:rPr>
          <w:rFonts w:ascii="仿宋_GB2312" w:hAnsi="仿宋_GB2312" w:eastAsia="仿宋_GB2312"/>
          <w:sz w:val="3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B263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2016-05-19T10:36:03Z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